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342992ac29152ca51d97a84d437d2903c80bfbe"/>
    <w:p>
      <w:pPr>
        <w:pStyle w:val="Heading2"/>
      </w:pPr>
      <w:r>
        <w:t xml:space="preserve">Nota Interna – Análise Jurídica do Contrato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Declarativo de Incumprimento de Contrato de Prestação de Serviços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XYZ – Serviços de Tecnologia, Lda., NIF 504 123 456, sede em Rua da Boavista, 45, 1200‑067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ABC – Consultoria Empresarial, Lda., NIF 508 987 321, sede em Avenida da República, 210, 4000‑254 Porto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João Silva (OA 12345) – Advogado da XYZ; Dra. Maria Fernandes (OA 67890) – Advogada da XYZ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</w:t>
      </w:r>
    </w:p>
    <w:p>
      <w:r>
        <w:pict>
          <v:rect style="width:0;height:1.5pt" o:hralign="center" o:hrstd="t" o:hr="t"/>
        </w:pict>
      </w:r>
    </w:p>
    <w:bookmarkStart w:id="9" w:name="objectivo-da-nota"/>
    <w:p>
      <w:pPr>
        <w:pStyle w:val="Heading3"/>
      </w:pPr>
      <w:r>
        <w:t xml:space="preserve">1. Objectivo da Nota</w:t>
      </w:r>
    </w:p>
    <w:p>
      <w:pPr>
        <w:pStyle w:val="FirstParagraph"/>
      </w:pPr>
      <w:r>
        <w:t xml:space="preserve">Apontar, de forma detalhada, as cláusulas contratuais que se revelam vulneráveis ao incumprimento por parte da ABC – Consultoria Empresarial, Lda., bem como indicar os fundamentos legais que suportam o pedido de</w:t>
      </w:r>
      <w:r>
        <w:t xml:space="preserve"> </w:t>
      </w:r>
      <w:r>
        <w:rPr>
          <w:b/>
          <w:bCs/>
        </w:rPr>
        <w:t xml:space="preserve">resolução do contrato</w:t>
      </w:r>
      <w:r>
        <w:t xml:space="preserve">,</w:t>
      </w:r>
      <w:r>
        <w:t xml:space="preserve"> </w:t>
      </w:r>
      <w:r>
        <w:rPr>
          <w:b/>
          <w:bCs/>
        </w:rPr>
        <w:t xml:space="preserve">indemnização por perdas e danos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restituição dos pagamentos antecipados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9"/>
    <w:bookmarkStart w:id="10" w:name="X4072bbcad453db9a2b0db0c4feb2b65b3d275f1"/>
    <w:p>
      <w:pPr>
        <w:pStyle w:val="Heading3"/>
      </w:pPr>
      <w:r>
        <w:t xml:space="preserve">2. Principais Cláusulas do Contrato (Data de celebração: 10 de janeiro de 2023)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473"/>
        <w:gridCol w:w="2026"/>
        <w:gridCol w:w="2486"/>
        <w:gridCol w:w="193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 da Cláusula</w:t>
            </w:r>
          </w:p>
        </w:tc>
        <w:tc>
          <w:tcPr/>
          <w:p>
            <w:pPr>
              <w:pStyle w:val="Compact"/>
            </w:pPr>
            <w:r>
              <w:t xml:space="preserve">Conteúdo da Cláusula</w:t>
            </w:r>
          </w:p>
        </w:tc>
        <w:tc>
          <w:tcPr/>
          <w:p>
            <w:pPr>
              <w:pStyle w:val="Compact"/>
            </w:pPr>
            <w:r>
              <w:t xml:space="preserve">Pontos de Vulnerabilidade</w:t>
            </w:r>
          </w:p>
        </w:tc>
        <w:tc>
          <w:tcPr/>
          <w:p>
            <w:pPr>
              <w:pStyle w:val="Compact"/>
            </w:pPr>
            <w:r>
              <w:t xml:space="preserve">Fundamentação Legal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1.ª</w:t>
            </w:r>
            <w:r>
              <w:t xml:space="preserve"> </w:t>
            </w:r>
            <w:r>
              <w:t xml:space="preserve">– Objeto</w:t>
            </w:r>
          </w:p>
        </w:tc>
        <w:tc>
          <w:tcPr/>
          <w:p>
            <w:pPr>
              <w:pStyle w:val="Compact"/>
            </w:pPr>
            <w:r>
              <w:t xml:space="preserve">Prestação de serviços de desenvolvimento e manutenção de software empresarial, com entrega de módulos críticos até 30 de junho de 2023.</w:t>
            </w:r>
          </w:p>
        </w:tc>
        <w:tc>
          <w:tcPr/>
          <w:p>
            <w:pPr>
              <w:pStyle w:val="Compact"/>
            </w:pPr>
            <w:r>
              <w:t xml:space="preserve">A ré não entregou o módulo “Gestão de Inventário” dentro do prazo acordado, apesar de múltiplas notificações.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1, do Código Civil (CC)</w:t>
            </w:r>
            <w:r>
              <w:t xml:space="preserve"> </w:t>
            </w:r>
            <w:r>
              <w:t xml:space="preserve">– Obrigação de executar a prestação nos termos pactuados.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3.ª</w:t>
            </w:r>
            <w:r>
              <w:t xml:space="preserve"> </w:t>
            </w:r>
            <w:r>
              <w:t xml:space="preserve">– Prazo de Execução</w:t>
            </w:r>
          </w:p>
        </w:tc>
        <w:tc>
          <w:tcPr/>
          <w:p>
            <w:pPr>
              <w:pStyle w:val="Compact"/>
            </w:pPr>
            <w:r>
              <w:t xml:space="preserve">Prazo máximo de 12 meses, prorrogável por acordo escrito entre as partes.</w:t>
            </w:r>
          </w:p>
        </w:tc>
        <w:tc>
          <w:tcPr/>
          <w:p>
            <w:pPr>
              <w:pStyle w:val="Compact"/>
            </w:pPr>
            <w:r>
              <w:t xml:space="preserve">Não houve acordo escrito de prorrogação; a XYZ continuou a depender dos serviços, gerando prejuízos.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2, CC</w:t>
            </w:r>
            <w:r>
              <w:t xml:space="preserve"> </w:t>
            </w:r>
            <w:r>
              <w:t xml:space="preserve">– Necessidade de acordo expresso para prorrogação.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5.ª</w:t>
            </w:r>
            <w:r>
              <w:t xml:space="preserve"> </w:t>
            </w:r>
            <w:r>
              <w:t xml:space="preserve">– Preço e Condições de Pagamento</w:t>
            </w:r>
          </w:p>
        </w:tc>
        <w:tc>
          <w:tcPr/>
          <w:p>
            <w:pPr>
              <w:pStyle w:val="Compact"/>
            </w:pPr>
            <w:r>
              <w:t xml:space="preserve">€ 250.000,00 (duzentos e cinquenta mil euros) pagos em 3 prestações: 30 % na assinatura, 40 % em 30 de abril de 2023, 30 % em 30 de outubro de 2023.</w:t>
            </w:r>
          </w:p>
        </w:tc>
        <w:tc>
          <w:tcPr/>
          <w:p>
            <w:pPr>
              <w:pStyle w:val="Compact"/>
            </w:pPr>
            <w:r>
              <w:t xml:space="preserve">A XYZ já recebeu a primeira e segunda prestação (€ 175.000,00), mas o serviço não foi concluído, configurando pagamento antecipado sem contrapartida.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798.º, CC</w:t>
            </w:r>
            <w:r>
              <w:t xml:space="preserve"> </w:t>
            </w:r>
            <w:r>
              <w:t xml:space="preserve">– Restituição de pagamentos indevidos.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7.ª</w:t>
            </w:r>
            <w:r>
              <w:t xml:space="preserve"> </w:t>
            </w:r>
            <w:r>
              <w:t xml:space="preserve">– Garantia de Qualidade</w:t>
            </w:r>
          </w:p>
        </w:tc>
        <w:tc>
          <w:tcPr/>
          <w:p>
            <w:pPr>
              <w:pStyle w:val="Compact"/>
            </w:pPr>
            <w:r>
              <w:t xml:space="preserve">A ré garante a conformidade dos serviços com as especificações técnicas e compromete‑se a corrigir falhas no prazo máximo de 15 dias úteis.</w:t>
            </w:r>
          </w:p>
        </w:tc>
        <w:tc>
          <w:tcPr/>
          <w:p>
            <w:pPr>
              <w:pStyle w:val="Compact"/>
            </w:pPr>
            <w:r>
              <w:t xml:space="preserve">Falhas não foram corrigidas dentro do prazo, nem foram oferecidas soluções alternativas.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3, CC</w:t>
            </w:r>
            <w:r>
              <w:t xml:space="preserve"> </w:t>
            </w:r>
            <w:r>
              <w:t xml:space="preserve">– Obrigação de boa execução e correção de defeitos.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9.ª</w:t>
            </w:r>
            <w:r>
              <w:t xml:space="preserve"> </w:t>
            </w:r>
            <w:r>
              <w:t xml:space="preserve">– Resolução por Incumprimento Grave</w:t>
            </w:r>
          </w:p>
        </w:tc>
        <w:tc>
          <w:tcPr/>
          <w:p>
            <w:pPr>
              <w:pStyle w:val="Compact"/>
            </w:pPr>
            <w:r>
              <w:t xml:space="preserve">A parte inocente pode resolver o contrato mediante notificação escrita, se a outra parte incorrer em incumprimento grave.</w:t>
            </w:r>
          </w:p>
        </w:tc>
        <w:tc>
          <w:tcPr/>
          <w:p>
            <w:pPr>
              <w:pStyle w:val="Compact"/>
            </w:pPr>
            <w:r>
              <w:t xml:space="preserve">Incumprimento grave configurado pela não entrega do módulo essencial e pela recusa em corrigir defeitos.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4, CC</w:t>
            </w:r>
            <w:r>
              <w:t xml:space="preserve"> </w:t>
            </w:r>
            <w:r>
              <w:t xml:space="preserve">– Resolução por incumprimento grave.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12.ª</w:t>
            </w:r>
            <w:r>
              <w:t xml:space="preserve"> </w:t>
            </w:r>
            <w:r>
              <w:t xml:space="preserve">– Cláusula Penal</w:t>
            </w:r>
          </w:p>
        </w:tc>
        <w:tc>
          <w:tcPr/>
          <w:p>
            <w:pPr>
              <w:pStyle w:val="Compact"/>
            </w:pPr>
            <w:r>
              <w:t xml:space="preserve">Em caso de resolução, a parte incumpridora pagará à outra uma penalidade de 20 % do valor total do contrato, sem prejuízo de indemnização por perdas e danos.</w:t>
            </w:r>
          </w:p>
        </w:tc>
        <w:tc>
          <w:tcPr/>
          <w:p>
            <w:pPr>
              <w:pStyle w:val="Compact"/>
            </w:pPr>
            <w:r>
              <w:t xml:space="preserve">Aplicável, pois a ABC – Consultoria Empresarial, Lda. incorreu em incumprimento grave.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5, CC</w:t>
            </w:r>
            <w:r>
              <w:t xml:space="preserve"> </w:t>
            </w:r>
            <w:r>
              <w:t xml:space="preserve">– Cláusula penal.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15.ª</w:t>
            </w:r>
            <w:r>
              <w:t xml:space="preserve"> </w:t>
            </w:r>
            <w:r>
              <w:t xml:space="preserve">– Foro Competente</w:t>
            </w:r>
          </w:p>
        </w:tc>
        <w:tc>
          <w:tcPr/>
          <w:p>
            <w:pPr>
              <w:pStyle w:val="Compact"/>
            </w:pPr>
            <w:r>
              <w:t xml:space="preserve">Foro da comarca de Lisboa, com renúncia a qualquer outro.</w:t>
            </w:r>
          </w:p>
        </w:tc>
        <w:tc>
          <w:tcPr/>
          <w:p>
            <w:pPr>
              <w:pStyle w:val="Compact"/>
            </w:pPr>
            <w:r>
              <w:t xml:space="preserve">Não suscita vulnerabilidade, mas confirma a competência da 2.ª Vara Cível de Lisboa.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21.º, n.º 1, CPC</w:t>
            </w:r>
            <w:r>
              <w:t xml:space="preserve"> </w:t>
            </w:r>
            <w:r>
              <w:t xml:space="preserve">– Determinação de foro.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fundamentação-jurídica-do-pedido"/>
    <w:p>
      <w:pPr>
        <w:pStyle w:val="Heading3"/>
      </w:pPr>
      <w:r>
        <w:t xml:space="preserve">3. Fundamentação Jurídica do Pedido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2970"/>
        <w:gridCol w:w="297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Base Legal</w:t>
            </w:r>
          </w:p>
        </w:tc>
        <w:tc>
          <w:tcPr/>
          <w:p>
            <w:pPr>
              <w:pStyle w:val="Compact"/>
            </w:pPr>
            <w:r>
              <w:t xml:space="preserve">Comentário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Resolução do contrato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4, CC</w:t>
            </w:r>
            <w:r>
              <w:t xml:space="preserve"> </w:t>
            </w:r>
            <w:r>
              <w:t xml:space="preserve">– Resolução por incumprimento grave;</w:t>
            </w:r>
            <w:r>
              <w:t xml:space="preserve"> </w:t>
            </w:r>
            <w:r>
              <w:rPr>
                <w:b/>
                <w:bCs/>
              </w:rPr>
              <w:t xml:space="preserve">Art.º 798.º, CC</w:t>
            </w:r>
            <w:r>
              <w:t xml:space="preserve"> </w:t>
            </w:r>
            <w:r>
              <w:t xml:space="preserve">– Restituição de prestações pagas.</w:t>
            </w:r>
          </w:p>
        </w:tc>
        <w:tc>
          <w:tcPr/>
          <w:p>
            <w:pPr>
              <w:pStyle w:val="Compact"/>
            </w:pPr>
            <w:r>
              <w:t xml:space="preserve">O incumprimento grave (não entrega do módulo essencial e falha na correção de defeitos) legitima a resolução unilateral mediante notificação.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perdas e danos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483.º, n.º 6, CC</w:t>
            </w:r>
            <w:r>
              <w:t xml:space="preserve"> </w:t>
            </w:r>
            <w:r>
              <w:t xml:space="preserve">– Indemnização das perdas e danos resultantes do incumprimento;</w:t>
            </w:r>
            <w:r>
              <w:t xml:space="preserve"> </w:t>
            </w:r>
            <w:r>
              <w:rPr>
                <w:b/>
                <w:bCs/>
              </w:rPr>
              <w:t xml:space="preserve">Art.º 483.º, n.º 7, CC</w:t>
            </w:r>
            <w:r>
              <w:t xml:space="preserve"> </w:t>
            </w:r>
            <w:r>
              <w:t xml:space="preserve">– Obrigação de reparar o prejuízo causado.</w:t>
            </w:r>
          </w:p>
        </w:tc>
        <w:tc>
          <w:tcPr/>
          <w:p>
            <w:pPr>
              <w:pStyle w:val="Compact"/>
            </w:pPr>
            <w:r>
              <w:t xml:space="preserve">A XYZ sofreu prejuízos operacionais estimados em € 80.000,00 (custos de adaptação de processos e perda de oportunidades de negócio).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Restituição dos pagamentos antecipados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798.º, CC</w:t>
            </w:r>
            <w:r>
              <w:t xml:space="preserve"> </w:t>
            </w:r>
            <w:r>
              <w:t xml:space="preserve">– Restituição de pagamentos indevidos;</w:t>
            </w:r>
            <w:r>
              <w:t xml:space="preserve"> </w:t>
            </w:r>
            <w:r>
              <w:rPr>
                <w:b/>
                <w:bCs/>
              </w:rPr>
              <w:t xml:space="preserve">Art.º 483.º, n.º 5, CC</w:t>
            </w:r>
            <w:r>
              <w:t xml:space="preserve"> </w:t>
            </w:r>
            <w:r>
              <w:t xml:space="preserve">– Aplicação da cláusula penal (20 % de € 250.000,00 = € 50.000,00).</w:t>
            </w:r>
          </w:p>
        </w:tc>
        <w:tc>
          <w:tcPr/>
          <w:p>
            <w:pPr>
              <w:pStyle w:val="Compact"/>
            </w:pPr>
            <w:r>
              <w:t xml:space="preserve">Valor a restituir: € 175.000,00 (prestações já pagas) + € 50.000,00 (cláusula penal) =</w:t>
            </w:r>
            <w:r>
              <w:t xml:space="preserve"> </w:t>
            </w:r>
            <w:r>
              <w:rPr>
                <w:b/>
                <w:bCs/>
              </w:rPr>
              <w:t xml:space="preserve">€ 225.000,00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Custas processuais e honorários de advogado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20.º, n.º 1, CPC</w:t>
            </w:r>
            <w:r>
              <w:t xml:space="preserve"> </w:t>
            </w:r>
            <w:r>
              <w:t xml:space="preserve">– Responsabilidade da parte vencida nas custas;</w:t>
            </w:r>
            <w:r>
              <w:t xml:space="preserve"> </w:t>
            </w:r>
            <w:r>
              <w:rPr>
                <w:b/>
                <w:bCs/>
              </w:rPr>
              <w:t xml:space="preserve">Art.º 21.º, n.º 2, CPC</w:t>
            </w:r>
            <w:r>
              <w:t xml:space="preserve"> </w:t>
            </w:r>
            <w:r>
              <w:t xml:space="preserve">– Honorários de advogado.</w:t>
            </w:r>
          </w:p>
        </w:tc>
        <w:tc>
          <w:tcPr/>
          <w:p>
            <w:pPr>
              <w:pStyle w:val="Compact"/>
            </w:pPr>
            <w:r>
              <w:t xml:space="preserve">Estimativa de custos: € 4.500,00 (custas) + € 6.000,00 (honorários).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estratégia-processual-recomendada"/>
    <w:p>
      <w:pPr>
        <w:pStyle w:val="Heading3"/>
      </w:pPr>
      <w:r>
        <w:t xml:space="preserve">4. Estratégia Processual Recomendada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Petição Inicial</w:t>
      </w:r>
      <w:r>
        <w:t xml:space="preserve"> </w:t>
      </w:r>
      <w:r>
        <w:t xml:space="preserve">– Redigir a petição com os fundamentos acima, anexando:</w:t>
      </w:r>
    </w:p>
    <w:p>
      <w:pPr>
        <w:pStyle w:val="Compact"/>
        <w:numPr>
          <w:ilvl w:val="1"/>
          <w:numId w:val="1002"/>
        </w:numPr>
      </w:pPr>
      <w:r>
        <w:t xml:space="preserve">Contrato de prestação de serviços (cópia autenticada);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Notificações enviadas à ré (carta registada com aviso de receção datada de 5 e 22 de fevereiro de 2024);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Relatório pericial técnico que comprova a não conformidade dos serviços;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Cálculo detalhado das perdas e danos.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Pedido de Tutela Antecipada</w:t>
      </w:r>
      <w:r>
        <w:t xml:space="preserve"> </w:t>
      </w:r>
      <w:r>
        <w:t xml:space="preserve">– Solicitar, nos termos do</w:t>
      </w:r>
      <w:r>
        <w:t xml:space="preserve"> </w:t>
      </w:r>
      <w:r>
        <w:rPr>
          <w:b/>
          <w:bCs/>
        </w:rPr>
        <w:t xml:space="preserve">Art.º 562.º, CPC</w:t>
      </w:r>
      <w:r>
        <w:t xml:space="preserve">, a suspensão imediata de quaisquer pagamentos futuros à ré e a retenção dos valores já pagos em depósito judicial, até decisão final.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Produção de Provas</w:t>
      </w:r>
      <w:r>
        <w:t xml:space="preserve"> </w:t>
      </w:r>
      <w:r>
        <w:t xml:space="preserve">– Requerer a produção de prova pericial (expertise informática) e a oitiva de testemunhas técnicas (ex‑funcionários da XYZ que acompanharam o desenvolvimento).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Negociação Extrajudicial</w:t>
      </w:r>
      <w:r>
        <w:t xml:space="preserve"> </w:t>
      </w:r>
      <w:r>
        <w:t xml:space="preserve">– Enquanto o processo tramita, abrir canal de negociação para tentativa de acordo que inclua:</w:t>
      </w:r>
    </w:p>
    <w:p>
      <w:pPr>
        <w:pStyle w:val="Compact"/>
        <w:numPr>
          <w:ilvl w:val="1"/>
          <w:numId w:val="1003"/>
        </w:numPr>
      </w:pPr>
      <w:r>
        <w:t xml:space="preserve">Restituição integral dos valores pagos;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Pagamento da cláusula penal;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Compensação pelos danos emergentes.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Calendário</w:t>
      </w:r>
      <w:r>
        <w:t xml:space="preserve"> </w:t>
      </w:r>
      <w:r>
        <w:t xml:space="preserve">– Cumprir os prazos processuais:</w:t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30 dias</w:t>
      </w:r>
      <w:r>
        <w:t xml:space="preserve"> </w:t>
      </w:r>
      <w:r>
        <w:t xml:space="preserve">para contestação por parte da ré;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15 dias</w:t>
      </w:r>
      <w:r>
        <w:t xml:space="preserve"> </w:t>
      </w:r>
      <w:r>
        <w:t xml:space="preserve">para apresentação de documentos complementares;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60 dias</w:t>
      </w:r>
      <w:r>
        <w:t xml:space="preserve"> </w:t>
      </w:r>
      <w:r>
        <w:t xml:space="preserve">para a realização da perícia, caso seja deferida.</w:t>
      </w:r>
    </w:p>
    <w:p>
      <w:r>
        <w:pict>
          <v:rect style="width:0;height:1.5pt" o:hralign="center" o:hrstd="t" o:hr="t"/>
        </w:pict>
      </w:r>
    </w:p>
    <w:bookmarkEnd w:id="12"/>
    <w:bookmarkStart w:id="13" w:name="conclusão"/>
    <w:p>
      <w:pPr>
        <w:pStyle w:val="Heading3"/>
      </w:pPr>
      <w:r>
        <w:t xml:space="preserve">5. Conclusão</w:t>
      </w:r>
    </w:p>
    <w:p>
      <w:pPr>
        <w:pStyle w:val="Compact"/>
        <w:numPr>
          <w:ilvl w:val="0"/>
          <w:numId w:val="1005"/>
        </w:numPr>
      </w:pPr>
      <w:r>
        <w:t xml:space="preserve">As cláusulas</w:t>
      </w:r>
      <w:r>
        <w:t xml:space="preserve"> </w:t>
      </w:r>
      <w:r>
        <w:rPr>
          <w:b/>
          <w:bCs/>
        </w:rPr>
        <w:t xml:space="preserve">1.º, 3.º, 5.º, 7.º, 9.º, 12.º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15.º</w:t>
      </w:r>
      <w:r>
        <w:t xml:space="preserve"> </w:t>
      </w:r>
      <w:r>
        <w:t xml:space="preserve">do contrato apresentam vulnerabilidades que configuram incumprimento grave por parte da ABC – Consultoria Empresarial, Lda.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O ordenamento jurídico português, nomeadamente o</w:t>
      </w:r>
      <w:r>
        <w:t xml:space="preserve"> </w:t>
      </w:r>
      <w:r>
        <w:rPr>
          <w:b/>
          <w:bCs/>
        </w:rPr>
        <w:t xml:space="preserve">Código Civil</w:t>
      </w:r>
      <w:r>
        <w:t xml:space="preserve"> </w:t>
      </w:r>
      <w:r>
        <w:t xml:space="preserve">e 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, oferece fundamento sólido para a</w:t>
      </w:r>
      <w:r>
        <w:t xml:space="preserve"> </w:t>
      </w:r>
      <w:r>
        <w:rPr>
          <w:b/>
          <w:bCs/>
        </w:rPr>
        <w:t xml:space="preserve">resolução do contrato</w:t>
      </w:r>
      <w:r>
        <w:t xml:space="preserve">, a</w:t>
      </w:r>
      <w:r>
        <w:t xml:space="preserve"> </w:t>
      </w:r>
      <w:r>
        <w:rPr>
          <w:b/>
          <w:bCs/>
        </w:rPr>
        <w:t xml:space="preserve">indemnização por perdas e danos</w:t>
      </w:r>
      <w:r>
        <w:t xml:space="preserve">, a</w:t>
      </w:r>
      <w:r>
        <w:t xml:space="preserve"> </w:t>
      </w:r>
      <w:r>
        <w:rPr>
          <w:b/>
          <w:bCs/>
        </w:rPr>
        <w:t xml:space="preserve">restituição dos pagamentos antecipados</w:t>
      </w:r>
      <w:r>
        <w:t xml:space="preserve"> </w:t>
      </w:r>
      <w:r>
        <w:t xml:space="preserve">e a</w:t>
      </w:r>
      <w:r>
        <w:t xml:space="preserve"> </w:t>
      </w:r>
      <w:r>
        <w:rPr>
          <w:b/>
          <w:bCs/>
        </w:rPr>
        <w:t xml:space="preserve">aplicação da cláusula penal</w:t>
      </w:r>
      <w:r>
        <w:t xml:space="preserve">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Recomenda‑se a instauração imediata do processo, com pedido de tutela antecipada, e a preparação de provas periciais para sustentar o cálculo dos prejuízos.</w:t>
      </w:r>
    </w:p>
    <w:p>
      <w:pPr>
        <w:pStyle w:val="BlockText"/>
      </w:pPr>
      <w:r>
        <w:rPr>
          <w:b/>
          <w:bCs/>
        </w:rPr>
        <w:t xml:space="preserve">Nota:</w:t>
      </w:r>
      <w:r>
        <w:t xml:space="preserve"> </w:t>
      </w:r>
      <w:r>
        <w:t xml:space="preserve">Esta análise destina‑se ao uso interno da equipa jurídica da XYZ – Serviços de Tecnologia, Lda., devendo ser mantida em sigilo profissional até à sua efetiva utilização no processo.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